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388"/>
        <w:gridCol w:w="3702"/>
        <w:gridCol w:w="5718"/>
      </w:tblGrid>
      <w:tr>
        <w:tblPrEx/>
        <w:trPr>
          <w:trHeight w:val="176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8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0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Приложение 2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 постановлению администрации муниципального образования Ленинградский муниципальный округ Краснодарского края от </w:t>
            </w:r>
            <w:r>
              <w:rPr>
                <w:rFonts w:ascii="Times New Roman" w:hAnsi="Times New Roman" w:eastAsia="Times New Roman" w:cs="Times New Roman"/>
              </w:rPr>
              <w:t xml:space="preserve">29.12.2025 г. № 2035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«Приложение 3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 муниципальной программе «Развитие улично-дорожной сети в обеспечении безопасности дорожного движения в муниципальном образовании Ленинградский муниципальный округ Краснодарского края»</w:t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pStyle w:val="651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651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65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Обоснование</w:t>
      </w:r>
      <w:r>
        <w:rPr>
          <w:rFonts w:ascii="Times New Roman" w:hAnsi="Times New Roman" w:eastAsia="Times New Roman" w:cs="Times New Roman"/>
        </w:rPr>
      </w:r>
    </w:p>
    <w:p>
      <w:pPr>
        <w:pStyle w:val="65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ресурсного обеспечения муниципальной программы «Развитие улично-дорожной сети </w:t>
      </w:r>
      <w:r>
        <w:rPr>
          <w:rFonts w:ascii="Times New Roman" w:hAnsi="Times New Roman" w:eastAsia="Times New Roman" w:cs="Times New Roman"/>
        </w:rPr>
      </w:r>
    </w:p>
    <w:p>
      <w:pPr>
        <w:pStyle w:val="65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обеспечении безопасности дорожного движения в муниципальном образовании </w:t>
      </w:r>
      <w:r>
        <w:rPr>
          <w:rFonts w:ascii="Times New Roman" w:hAnsi="Times New Roman" w:eastAsia="Times New Roman" w:cs="Times New Roman"/>
        </w:rPr>
      </w:r>
    </w:p>
    <w:p>
      <w:pPr>
        <w:pStyle w:val="65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Ленинградский округ Краснодарского края»</w:t>
      </w:r>
      <w:r>
        <w:rPr>
          <w:rFonts w:ascii="Times New Roman" w:hAnsi="Times New Roman" w:eastAsia="Times New Roman" w:cs="Times New Roman"/>
        </w:rPr>
      </w:r>
    </w:p>
    <w:p>
      <w:pPr>
        <w:pStyle w:val="651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938"/>
        <w:gridCol w:w="2295"/>
        <w:gridCol w:w="2280"/>
        <w:gridCol w:w="1575"/>
        <w:gridCol w:w="1320"/>
        <w:gridCol w:w="1274"/>
        <w:gridCol w:w="1546"/>
      </w:tblGrid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№ п/п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Наименование мероприятия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год реализации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Объем финансирования, 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 разрезе источников финансирования, руб.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местный 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краевой 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5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6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Ремонт автомобильных дорог, в том числе аренда грейдера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16800,0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16800,0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15020,1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15020,1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15513,8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15513,8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0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15633,6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15633,6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77467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,5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77467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938"/>
        <w:gridCol w:w="2295"/>
        <w:gridCol w:w="2295"/>
        <w:gridCol w:w="1562"/>
        <w:gridCol w:w="1350"/>
        <w:gridCol w:w="1260"/>
        <w:gridCol w:w="1528"/>
      </w:tblGrid>
      <w:tr>
        <w:tblPrEx/>
        <w:trPr>
          <w:trHeight w:val="2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ГПС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9659,4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9659,4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52659,4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52659,4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938"/>
        <w:gridCol w:w="2295"/>
        <w:gridCol w:w="2295"/>
        <w:gridCol w:w="1560"/>
        <w:gridCol w:w="1350"/>
        <w:gridCol w:w="1260"/>
        <w:gridCol w:w="1515"/>
      </w:tblGrid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Строительство и ремонт тротуаров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jc w:val="both"/>
              <w:widowControl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 xml:space="preserve">18669,0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4587,0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14082,0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jc w:val="both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7587,0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7587,0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7600,0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7600,0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7800,0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7800,0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49656,0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35574,0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14082,0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923"/>
        <w:gridCol w:w="2295"/>
        <w:gridCol w:w="2310"/>
        <w:gridCol w:w="1560"/>
        <w:gridCol w:w="1350"/>
        <w:gridCol w:w="1275"/>
        <w:gridCol w:w="1515"/>
      </w:tblGrid>
      <w:tr>
        <w:tblPrEx/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restart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Изготовление проектно-сметной организации 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595,0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595,0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532,0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532,0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3177,0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3177,0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Строительство и ремонт (модернизация) уличного освещения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4517,5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4517,5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4550,0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4550,0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24567,5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24567,5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908"/>
        <w:gridCol w:w="2310"/>
        <w:gridCol w:w="2310"/>
        <w:gridCol w:w="1560"/>
        <w:gridCol w:w="1350"/>
        <w:gridCol w:w="1275"/>
        <w:gridCol w:w="1500"/>
      </w:tblGrid>
      <w:tr>
        <w:tblPrEx/>
        <w:trPr>
          <w:trHeight w:val="23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Выполнение работ по технологическому подключению уличного освещения  сети электроснабжения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520,0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520,0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2770,0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2770,0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923"/>
        <w:gridCol w:w="2295"/>
        <w:gridCol w:w="2310"/>
        <w:gridCol w:w="1560"/>
        <w:gridCol w:w="1350"/>
        <w:gridCol w:w="1275"/>
        <w:gridCol w:w="1500"/>
      </w:tblGrid>
      <w:tr>
        <w:tblPrEx/>
        <w:trPr>
          <w:trHeight w:val="2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электромонтажного оборудования (расходных материалов (светодиодных ламп,светильников,кронштейнов, монтажной ленты и т.д)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1700,0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1700,0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360,0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360,0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380,0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380,0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3190,0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3190,0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923"/>
        <w:gridCol w:w="2295"/>
        <w:gridCol w:w="2325"/>
        <w:gridCol w:w="1545"/>
        <w:gridCol w:w="1350"/>
        <w:gridCol w:w="1275"/>
        <w:gridCol w:w="1500"/>
      </w:tblGrid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Оплата поставки электроэнергии улично-дорожной сети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23500,0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23500,0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16000,0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16000,0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16100,0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16100,0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16500,0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16500,0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17500,0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17500,0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89600,0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89600,0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923"/>
        <w:gridCol w:w="2295"/>
        <w:gridCol w:w="2325"/>
        <w:gridCol w:w="1545"/>
        <w:gridCol w:w="1350"/>
        <w:gridCol w:w="1275"/>
        <w:gridCol w:w="1515"/>
      </w:tblGrid>
      <w:tr>
        <w:tblPrEx/>
        <w:trPr>
          <w:trHeight w:val="2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restart"/>
            <w:textDirection w:val="lrTb"/>
            <w:noWrap w:val="false"/>
          </w:tcPr>
          <w:p>
            <w:pPr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Нанесение дорожной разметки на автомобильных дорогах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6700,0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6700,0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6700,0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6700,0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6740,0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6740,0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6850,0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6850,0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6950,0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6950,0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33940,0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33940,0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923"/>
        <w:gridCol w:w="2295"/>
        <w:gridCol w:w="2340"/>
        <w:gridCol w:w="1530"/>
        <w:gridCol w:w="1350"/>
        <w:gridCol w:w="1275"/>
        <w:gridCol w:w="1500"/>
      </w:tblGrid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Обустройство улично-дорожной сети вблизи дошкольных и школьных образовательных учреждений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320,0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320,0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370,0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370,0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3440,0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3440,0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923"/>
        <w:gridCol w:w="2295"/>
        <w:gridCol w:w="2340"/>
        <w:gridCol w:w="1530"/>
        <w:gridCol w:w="1350"/>
        <w:gridCol w:w="1275"/>
        <w:gridCol w:w="1500"/>
      </w:tblGrid>
      <w:tr>
        <w:tblPrEx/>
        <w:trPr>
          <w:trHeight w:val="3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дорожных знаков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2200,0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2200,0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9350,0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9350,0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923"/>
        <w:gridCol w:w="2295"/>
        <w:gridCol w:w="2340"/>
        <w:gridCol w:w="1530"/>
        <w:gridCol w:w="1350"/>
        <w:gridCol w:w="1275"/>
        <w:gridCol w:w="1500"/>
      </w:tblGrid>
      <w:tr>
        <w:tblPrEx/>
        <w:trPr>
          <w:trHeight w:val="2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Ремонт и покраска остановочных пунктов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1200,0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1200,0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923"/>
        <w:gridCol w:w="2295"/>
        <w:gridCol w:w="2340"/>
        <w:gridCol w:w="1530"/>
        <w:gridCol w:w="1350"/>
        <w:gridCol w:w="1275"/>
        <w:gridCol w:w="1500"/>
      </w:tblGrid>
      <w:tr>
        <w:tblPrEx/>
        <w:trPr>
          <w:trHeight w:val="2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restart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соли, транспортные расходы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5300,0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5300,0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  <w:tr>
        <w:tblPrEx/>
        <w:trPr>
          <w:trHeight w:val="2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restart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и ремонт светофорных объектов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2150,0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2150,0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8500,0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8500,0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3908"/>
        <w:gridCol w:w="1200"/>
        <w:gridCol w:w="1095"/>
        <w:gridCol w:w="2340"/>
        <w:gridCol w:w="1530"/>
        <w:gridCol w:w="1350"/>
        <w:gridCol w:w="1275"/>
        <w:gridCol w:w="1500"/>
      </w:tblGrid>
      <w:tr>
        <w:tblPrEx/>
        <w:trPr>
          <w:trHeight w:val="20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3" w:type="dxa"/>
            <w:vMerge w:val="restart"/>
            <w:textDirection w:val="lrTb"/>
            <w:noWrap w:val="false"/>
          </w:tcPr>
          <w:p>
            <w:pPr>
              <w:pStyle w:val="651"/>
              <w:jc w:val="righ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Всего: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87923,4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73841,4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14082,0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</w:tr>
      <w:tr>
        <w:tblPrEx/>
        <w:trPr>
          <w:trHeight w:val="25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66054,5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66054,5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</w:tr>
      <w:tr>
        <w:tblPrEx/>
        <w:trPr>
          <w:trHeight w:val="219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67542,1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67542,1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</w:tr>
      <w:tr>
        <w:tblPrEx/>
        <w:trPr>
          <w:trHeight w:val="248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70243,8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70243,8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</w:tr>
      <w:tr>
        <w:tblPrEx/>
        <w:trPr>
          <w:trHeight w:val="232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73053,6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73053,6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3" w:type="dxa"/>
            <w:textDirection w:val="lrTb"/>
            <w:noWrap w:val="false"/>
          </w:tcPr>
          <w:p>
            <w:pPr>
              <w:pStyle w:val="651"/>
              <w:jc w:val="righ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Итого: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2026-2030 г.г.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364817,4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350735,4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14082,0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p>
      <w:pPr>
        <w:pStyle w:val="651"/>
        <w:jc w:val="right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»</w:t>
      </w:r>
      <w:r>
        <w:rPr>
          <w:rFonts w:ascii="Times New Roman" w:hAnsi="Times New Roman" w:eastAsia="Times New Roman" w:cs="Times New Roman"/>
        </w:rPr>
      </w:r>
    </w:p>
    <w:p>
      <w:pPr>
        <w:pStyle w:val="65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65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6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Заместител</w:t>
      </w:r>
      <w:r>
        <w:rPr>
          <w:rFonts w:ascii="Times New Roman" w:hAnsi="Times New Roman" w:eastAsia="Times New Roman" w:cs="Times New Roman"/>
          <w:sz w:val="28"/>
        </w:rPr>
        <w:t xml:space="preserve">ь главы </w:t>
      </w:r>
      <w:r>
        <w:rPr>
          <w:rFonts w:ascii="Times New Roman" w:hAnsi="Times New Roman" w:eastAsia="Times New Roman" w:cs="Times New Roman"/>
          <w:sz w:val="28"/>
        </w:rPr>
        <w:t xml:space="preserve">Ленинградского</w:t>
      </w:r>
      <w:r>
        <w:rPr>
          <w:rFonts w:ascii="Times New Roman" w:hAnsi="Times New Roman" w:cs="Times New Roman"/>
          <w:sz w:val="28"/>
        </w:rPr>
      </w:r>
    </w:p>
    <w:p>
      <w:pPr>
        <w:pStyle w:val="6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муниципального округа                                                                                                                                               В.В. Мальченко</w:t>
      </w:r>
      <w:r>
        <w:rPr>
          <w:rFonts w:ascii="Times New Roman" w:hAnsi="Times New Roman" w:cs="Times New Roman"/>
          <w:sz w:val="28"/>
        </w:rPr>
      </w:r>
    </w:p>
    <w:sectPr>
      <w:headerReference w:type="default" r:id="rId8"/>
      <w:footnotePr/>
      <w:endnotePr/>
      <w:type w:val="nextPage"/>
      <w:pgSz w:w="16848" w:h="11908" w:orient="landscape"/>
      <w:pgMar w:top="1077" w:right="737" w:bottom="1077" w:left="1304" w:header="1134" w:footer="1134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XO Thames">
    <w:panose1 w:val="02000603000000000000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7"/>
      <w:jc w:val="center"/>
      <w:widowControl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1" name="Picture 1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 rot="0" flipH="0" flipV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651"/>
                            <w:jc w:val="center"/>
                            <w:widowControl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 xml:space="preserve"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  <w:r>
                            <w:rPr>
                              <w:color w:val="000000"/>
                              <w:spacing w:val="0"/>
                            </w:rPr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center;mso-position-vertical-relative:text;margin-top:0.00pt;mso-position-vertical:absolute;width:100.00pt;height:100.00pt;mso-wrap-distance-left:0.00pt;mso-wrap-distance-top:0.00pt;mso-wrap-distance-right:0.00pt;mso-wrap-distance-bottom:0.00pt;rotation:0;v-text-anchor:middle;visibility:visible;" filled="f">
              <w10:wrap type="square"/>
              <v:textbox inset="0,0,0,0">
                <w:txbxContent>
                  <w:p>
                    <w:pPr>
                      <w:pStyle w:val="651"/>
                      <w:jc w:val="center"/>
                      <w:widowControl/>
                      <w:rPr>
                        <w:color w:val="000000"/>
                        <w:spacing w:val="0"/>
                      </w:rPr>
                    </w:pPr>
                    <w:r>
                      <w:rPr>
                        <w:color w:val="000000"/>
                        <w:spacing w:val="0"/>
                      </w:rPr>
                      <w:fldChar w:fldCharType="begin"/>
                    </w:r>
                    <w:r>
                      <w:rPr>
                        <w:color w:val="000000"/>
                        <w:spacing w:val="0"/>
                      </w:rPr>
                      <w:instrText xml:space="preserve">PAGE \* Arabic</w:instrText>
                    </w:r>
                    <w:r>
                      <w:rPr>
                        <w:color w:val="000000"/>
                        <w:spacing w:val="0"/>
                      </w:rPr>
                      <w:fldChar w:fldCharType="separate"/>
                    </w:r>
                    <w:r>
                      <w:rPr>
                        <w:color w:val="000000"/>
                        <w:spacing w:val="0"/>
                      </w:rPr>
                      <w:t xml:space="preserve"> </w:t>
                    </w:r>
                    <w:r>
                      <w:rPr>
                        <w:color w:val="000000"/>
                        <w:spacing w:val="0"/>
                      </w:rPr>
                      <w:fldChar w:fldCharType="end"/>
                    </w:r>
                    <w:r>
                      <w:rPr>
                        <w:color w:val="000000"/>
                        <w:spacing w:val="0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XO Thames" w:hAnsi="XO Thames" w:eastAsia="Times New Roman" w:cs="Times New Roman"/>
        <w:color w:val="000000"/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1">
    <w:name w:val="Default Paragraph Font"/>
    <w:uiPriority w:val="1"/>
    <w:semiHidden/>
    <w:unhideWhenUsed/>
  </w:style>
  <w:style w:type="character" w:styleId="14">
    <w:name w:val="Heading 1 Char"/>
    <w:basedOn w:val="11"/>
    <w:link w:val="67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11"/>
    <w:link w:val="692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11"/>
    <w:link w:val="66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11"/>
    <w:link w:val="690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11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2"/>
    <w:next w:val="65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2"/>
    <w:next w:val="65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2"/>
    <w:next w:val="65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2"/>
    <w:next w:val="65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11"/>
    <w:link w:val="688"/>
    <w:uiPriority w:val="10"/>
    <w:rPr>
      <w:sz w:val="48"/>
      <w:szCs w:val="48"/>
    </w:rPr>
  </w:style>
  <w:style w:type="character" w:styleId="37">
    <w:name w:val="Subtitle Char"/>
    <w:basedOn w:val="11"/>
    <w:link w:val="686"/>
    <w:uiPriority w:val="11"/>
    <w:rPr>
      <w:sz w:val="24"/>
      <w:szCs w:val="24"/>
    </w:rPr>
  </w:style>
  <w:style w:type="paragraph" w:styleId="38">
    <w:name w:val="Quote"/>
    <w:basedOn w:val="652"/>
    <w:next w:val="65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2"/>
    <w:next w:val="65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2"/>
    <w:next w:val="6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5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652"/>
    <w:next w:val="652"/>
    <w:uiPriority w:val="99"/>
    <w:unhideWhenUsed/>
    <w:pPr>
      <w:spacing w:after="0" w:afterAutospacing="0"/>
    </w:pPr>
  </w:style>
  <w:style w:type="paragraph" w:styleId="651" w:default="1">
    <w:name w:val="Normal"/>
    <w:link w:val="652"/>
    <w:uiPriority w:val="0"/>
    <w:qFormat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652" w:default="1">
    <w:name w:val="Normal"/>
    <w:link w:val="651"/>
    <w:rPr>
      <w:rFonts w:ascii="XO Thames" w:hAnsi="XO Thames"/>
      <w:sz w:val="28"/>
    </w:rPr>
  </w:style>
  <w:style w:type="paragraph" w:styleId="653">
    <w:name w:val="toc 2"/>
    <w:next w:val="651"/>
    <w:link w:val="654"/>
    <w:uiPriority w:val="39"/>
    <w:pPr>
      <w:ind w:left="200" w:firstLine="0"/>
      <w:jc w:val="left"/>
      <w:widowControl/>
    </w:pPr>
    <w:rPr>
      <w:rFonts w:ascii="XO Thames" w:hAnsi="XO Thames"/>
      <w:sz w:val="28"/>
    </w:rPr>
  </w:style>
  <w:style w:type="character" w:styleId="654">
    <w:name w:val="toc 2"/>
    <w:link w:val="653"/>
    <w:rPr>
      <w:rFonts w:ascii="XO Thames" w:hAnsi="XO Thames"/>
      <w:sz w:val="28"/>
    </w:rPr>
  </w:style>
  <w:style w:type="paragraph" w:styleId="655">
    <w:name w:val="toc 4"/>
    <w:next w:val="651"/>
    <w:link w:val="656"/>
    <w:uiPriority w:val="39"/>
    <w:pPr>
      <w:ind w:left="600" w:firstLine="0"/>
      <w:jc w:val="left"/>
      <w:widowControl/>
    </w:pPr>
    <w:rPr>
      <w:rFonts w:ascii="XO Thames" w:hAnsi="XO Thames"/>
      <w:sz w:val="28"/>
    </w:rPr>
  </w:style>
  <w:style w:type="character" w:styleId="656">
    <w:name w:val="toc 4"/>
    <w:link w:val="655"/>
    <w:rPr>
      <w:rFonts w:ascii="XO Thames" w:hAnsi="XO Thames"/>
      <w:sz w:val="28"/>
    </w:rPr>
  </w:style>
  <w:style w:type="paragraph" w:styleId="657">
    <w:name w:val="toc 6"/>
    <w:next w:val="651"/>
    <w:link w:val="658"/>
    <w:uiPriority w:val="39"/>
    <w:pPr>
      <w:ind w:left="1000" w:firstLine="0"/>
      <w:jc w:val="left"/>
      <w:widowControl/>
    </w:pPr>
    <w:rPr>
      <w:rFonts w:ascii="XO Thames" w:hAnsi="XO Thames"/>
      <w:sz w:val="28"/>
    </w:rPr>
  </w:style>
  <w:style w:type="character" w:styleId="658">
    <w:name w:val="toc 6"/>
    <w:link w:val="657"/>
    <w:rPr>
      <w:rFonts w:ascii="XO Thames" w:hAnsi="XO Thames"/>
      <w:sz w:val="28"/>
    </w:rPr>
  </w:style>
  <w:style w:type="paragraph" w:styleId="659">
    <w:name w:val="toc 7"/>
    <w:next w:val="651"/>
    <w:link w:val="660"/>
    <w:uiPriority w:val="39"/>
    <w:pPr>
      <w:ind w:left="1200" w:firstLine="0"/>
      <w:jc w:val="left"/>
      <w:widowControl/>
    </w:pPr>
    <w:rPr>
      <w:rFonts w:ascii="XO Thames" w:hAnsi="XO Thames"/>
      <w:sz w:val="28"/>
    </w:rPr>
  </w:style>
  <w:style w:type="character" w:styleId="660">
    <w:name w:val="toc 7"/>
    <w:link w:val="659"/>
    <w:rPr>
      <w:rFonts w:ascii="XO Thames" w:hAnsi="XO Thames"/>
      <w:sz w:val="28"/>
    </w:rPr>
  </w:style>
  <w:style w:type="paragraph" w:styleId="661">
    <w:name w:val="Endnote"/>
    <w:link w:val="662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662">
    <w:name w:val="Endnote"/>
    <w:link w:val="661"/>
    <w:rPr>
      <w:rFonts w:ascii="XO Thames" w:hAnsi="XO Thames"/>
      <w:sz w:val="22"/>
    </w:rPr>
  </w:style>
  <w:style w:type="paragraph" w:styleId="663">
    <w:name w:val="Heading 3"/>
    <w:next w:val="651"/>
    <w:link w:val="664"/>
    <w:uiPriority w:val="9"/>
    <w:qFormat/>
    <w:pPr>
      <w:jc w:val="both"/>
      <w:spacing w:before="120" w:after="120"/>
      <w:widowControl/>
      <w:outlineLvl w:val="2"/>
    </w:pPr>
    <w:rPr>
      <w:rFonts w:ascii="XO Thames" w:hAnsi="XO Thames"/>
      <w:b/>
      <w:sz w:val="26"/>
    </w:rPr>
  </w:style>
  <w:style w:type="character" w:styleId="664">
    <w:name w:val="Heading 3"/>
    <w:link w:val="663"/>
    <w:rPr>
      <w:rFonts w:ascii="XO Thames" w:hAnsi="XO Thames"/>
      <w:b/>
      <w:sz w:val="26"/>
    </w:rPr>
  </w:style>
  <w:style w:type="paragraph" w:styleId="665">
    <w:name w:val="toc 3"/>
    <w:next w:val="651"/>
    <w:link w:val="666"/>
    <w:uiPriority w:val="39"/>
    <w:pPr>
      <w:ind w:left="400" w:firstLine="0"/>
      <w:jc w:val="left"/>
      <w:widowControl/>
    </w:pPr>
    <w:rPr>
      <w:rFonts w:ascii="XO Thames" w:hAnsi="XO Thames"/>
      <w:sz w:val="28"/>
    </w:rPr>
  </w:style>
  <w:style w:type="character" w:styleId="666">
    <w:name w:val="toc 3"/>
    <w:link w:val="665"/>
    <w:rPr>
      <w:rFonts w:ascii="XO Thames" w:hAnsi="XO Thames"/>
      <w:sz w:val="28"/>
    </w:rPr>
  </w:style>
  <w:style w:type="paragraph" w:styleId="667">
    <w:name w:val="Heading 5"/>
    <w:next w:val="651"/>
    <w:link w:val="668"/>
    <w:uiPriority w:val="9"/>
    <w:qFormat/>
    <w:pPr>
      <w:jc w:val="both"/>
      <w:spacing w:before="120" w:after="120"/>
      <w:widowControl/>
      <w:outlineLvl w:val="4"/>
    </w:pPr>
    <w:rPr>
      <w:rFonts w:ascii="XO Thames" w:hAnsi="XO Thames"/>
      <w:b/>
      <w:sz w:val="22"/>
    </w:rPr>
  </w:style>
  <w:style w:type="character" w:styleId="668">
    <w:name w:val="Heading 5"/>
    <w:link w:val="667"/>
    <w:rPr>
      <w:rFonts w:ascii="XO Thames" w:hAnsi="XO Thames"/>
      <w:b/>
      <w:sz w:val="22"/>
    </w:rPr>
  </w:style>
  <w:style w:type="paragraph" w:styleId="669">
    <w:name w:val="Heading 1"/>
    <w:next w:val="651"/>
    <w:link w:val="670"/>
    <w:uiPriority w:val="9"/>
    <w:qFormat/>
    <w:pPr>
      <w:jc w:val="both"/>
      <w:spacing w:before="120" w:after="120"/>
      <w:widowControl/>
      <w:outlineLvl w:val="0"/>
    </w:pPr>
    <w:rPr>
      <w:rFonts w:ascii="XO Thames" w:hAnsi="XO Thames"/>
      <w:b/>
      <w:sz w:val="32"/>
    </w:rPr>
  </w:style>
  <w:style w:type="character" w:styleId="670">
    <w:name w:val="Heading 1"/>
    <w:link w:val="669"/>
    <w:rPr>
      <w:rFonts w:ascii="XO Thames" w:hAnsi="XO Thames"/>
      <w:b/>
      <w:sz w:val="32"/>
    </w:rPr>
  </w:style>
  <w:style w:type="paragraph" w:styleId="671">
    <w:name w:val="Hyperlink"/>
    <w:link w:val="672"/>
    <w:rPr>
      <w:color w:val="0000ff"/>
      <w:u w:val="single"/>
    </w:rPr>
  </w:style>
  <w:style w:type="character" w:styleId="672">
    <w:name w:val="Hyperlink"/>
    <w:link w:val="671"/>
    <w:rPr>
      <w:color w:val="0000ff"/>
      <w:u w:val="single"/>
    </w:rPr>
  </w:style>
  <w:style w:type="paragraph" w:styleId="673">
    <w:name w:val="Footnote"/>
    <w:link w:val="674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674">
    <w:name w:val="Footnote"/>
    <w:link w:val="673"/>
    <w:rPr>
      <w:rFonts w:ascii="XO Thames" w:hAnsi="XO Thames"/>
      <w:sz w:val="22"/>
    </w:rPr>
  </w:style>
  <w:style w:type="paragraph" w:styleId="675">
    <w:name w:val="toc 1"/>
    <w:next w:val="651"/>
    <w:link w:val="676"/>
    <w:uiPriority w:val="39"/>
    <w:pPr>
      <w:ind w:left="0" w:firstLine="0"/>
      <w:jc w:val="left"/>
      <w:widowControl/>
    </w:pPr>
    <w:rPr>
      <w:rFonts w:ascii="XO Thames" w:hAnsi="XO Thames"/>
      <w:b/>
      <w:sz w:val="28"/>
    </w:rPr>
  </w:style>
  <w:style w:type="character" w:styleId="676">
    <w:name w:val="toc 1"/>
    <w:link w:val="675"/>
    <w:rPr>
      <w:rFonts w:ascii="XO Thames" w:hAnsi="XO Thames"/>
      <w:b/>
      <w:sz w:val="28"/>
    </w:rPr>
  </w:style>
  <w:style w:type="paragraph" w:styleId="677">
    <w:name w:val="Header and Footer"/>
    <w:link w:val="678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678">
    <w:name w:val="Header and Footer"/>
    <w:link w:val="677"/>
    <w:rPr>
      <w:rFonts w:ascii="XO Thames" w:hAnsi="XO Thames"/>
      <w:sz w:val="28"/>
    </w:rPr>
  </w:style>
  <w:style w:type="paragraph" w:styleId="679">
    <w:name w:val="toc 9"/>
    <w:next w:val="651"/>
    <w:link w:val="680"/>
    <w:uiPriority w:val="39"/>
    <w:pPr>
      <w:ind w:left="1600" w:firstLine="0"/>
      <w:jc w:val="left"/>
      <w:widowControl/>
    </w:pPr>
    <w:rPr>
      <w:rFonts w:ascii="XO Thames" w:hAnsi="XO Thames"/>
      <w:sz w:val="28"/>
    </w:rPr>
  </w:style>
  <w:style w:type="character" w:styleId="680">
    <w:name w:val="toc 9"/>
    <w:link w:val="679"/>
    <w:rPr>
      <w:rFonts w:ascii="XO Thames" w:hAnsi="XO Thames"/>
      <w:sz w:val="28"/>
    </w:rPr>
  </w:style>
  <w:style w:type="paragraph" w:styleId="681">
    <w:name w:val="toc 8"/>
    <w:next w:val="651"/>
    <w:link w:val="682"/>
    <w:uiPriority w:val="39"/>
    <w:pPr>
      <w:ind w:left="1400" w:firstLine="0"/>
      <w:jc w:val="left"/>
      <w:widowControl/>
    </w:pPr>
    <w:rPr>
      <w:rFonts w:ascii="XO Thames" w:hAnsi="XO Thames"/>
      <w:sz w:val="28"/>
    </w:rPr>
  </w:style>
  <w:style w:type="character" w:styleId="682">
    <w:name w:val="toc 8"/>
    <w:link w:val="681"/>
    <w:rPr>
      <w:rFonts w:ascii="XO Thames" w:hAnsi="XO Thames"/>
      <w:sz w:val="28"/>
    </w:rPr>
  </w:style>
  <w:style w:type="paragraph" w:styleId="683">
    <w:name w:val="toc 5"/>
    <w:next w:val="651"/>
    <w:link w:val="684"/>
    <w:uiPriority w:val="39"/>
    <w:pPr>
      <w:ind w:left="800" w:firstLine="0"/>
      <w:jc w:val="left"/>
      <w:widowControl/>
    </w:pPr>
    <w:rPr>
      <w:rFonts w:ascii="XO Thames" w:hAnsi="XO Thames"/>
      <w:sz w:val="28"/>
    </w:rPr>
  </w:style>
  <w:style w:type="character" w:styleId="684">
    <w:name w:val="toc 5"/>
    <w:link w:val="683"/>
    <w:rPr>
      <w:rFonts w:ascii="XO Thames" w:hAnsi="XO Thames"/>
      <w:sz w:val="28"/>
    </w:rPr>
  </w:style>
  <w:style w:type="paragraph" w:styleId="685">
    <w:name w:val="Subtitle"/>
    <w:next w:val="651"/>
    <w:link w:val="686"/>
    <w:uiPriority w:val="11"/>
    <w:qFormat/>
    <w:pPr>
      <w:jc w:val="both"/>
      <w:widowControl/>
    </w:pPr>
    <w:rPr>
      <w:rFonts w:ascii="XO Thames" w:hAnsi="XO Thames"/>
      <w:i/>
      <w:sz w:val="24"/>
    </w:rPr>
  </w:style>
  <w:style w:type="character" w:styleId="686">
    <w:name w:val="Subtitle"/>
    <w:link w:val="685"/>
    <w:rPr>
      <w:rFonts w:ascii="XO Thames" w:hAnsi="XO Thames"/>
      <w:i/>
      <w:sz w:val="24"/>
    </w:rPr>
  </w:style>
  <w:style w:type="paragraph" w:styleId="687">
    <w:name w:val="Title"/>
    <w:next w:val="651"/>
    <w:link w:val="688"/>
    <w:uiPriority w:val="10"/>
    <w:qFormat/>
    <w:pPr>
      <w:jc w:val="center"/>
      <w:spacing w:before="567" w:after="567"/>
      <w:widowControl/>
    </w:pPr>
    <w:rPr>
      <w:rFonts w:ascii="XO Thames" w:hAnsi="XO Thames"/>
      <w:b/>
      <w:caps/>
      <w:sz w:val="40"/>
    </w:rPr>
  </w:style>
  <w:style w:type="character" w:styleId="688">
    <w:name w:val="Title"/>
    <w:link w:val="687"/>
    <w:rPr>
      <w:rFonts w:ascii="XO Thames" w:hAnsi="XO Thames"/>
      <w:b/>
      <w:caps/>
      <w:sz w:val="40"/>
    </w:rPr>
  </w:style>
  <w:style w:type="paragraph" w:styleId="689">
    <w:name w:val="Heading 4"/>
    <w:next w:val="651"/>
    <w:link w:val="690"/>
    <w:uiPriority w:val="9"/>
    <w:qFormat/>
    <w:pPr>
      <w:jc w:val="both"/>
      <w:spacing w:before="120" w:after="120"/>
      <w:widowControl/>
      <w:outlineLvl w:val="3"/>
    </w:pPr>
    <w:rPr>
      <w:rFonts w:ascii="XO Thames" w:hAnsi="XO Thames"/>
      <w:b/>
      <w:sz w:val="24"/>
    </w:rPr>
  </w:style>
  <w:style w:type="character" w:styleId="690">
    <w:name w:val="Heading 4"/>
    <w:link w:val="689"/>
    <w:rPr>
      <w:rFonts w:ascii="XO Thames" w:hAnsi="XO Thames"/>
      <w:b/>
      <w:sz w:val="24"/>
    </w:rPr>
  </w:style>
  <w:style w:type="paragraph" w:styleId="691">
    <w:name w:val="Heading 2"/>
    <w:next w:val="651"/>
    <w:link w:val="692"/>
    <w:uiPriority w:val="9"/>
    <w:qFormat/>
    <w:pPr>
      <w:jc w:val="both"/>
      <w:spacing w:before="120" w:after="120"/>
      <w:widowControl/>
      <w:outlineLvl w:val="1"/>
    </w:pPr>
    <w:rPr>
      <w:rFonts w:ascii="XO Thames" w:hAnsi="XO Thames"/>
      <w:b/>
      <w:sz w:val="28"/>
    </w:rPr>
  </w:style>
  <w:style w:type="character" w:styleId="692">
    <w:name w:val="Heading 2"/>
    <w:link w:val="691"/>
    <w:rPr>
      <w:rFonts w:ascii="XO Thames" w:hAnsi="XO Thames"/>
      <w:b/>
      <w:sz w:val="28"/>
    </w:rPr>
  </w:style>
  <w:style w:type="numbering" w:styleId="8753" w:default="1">
    <w:name w:val="No List"/>
    <w:uiPriority w:val="99"/>
    <w:semiHidden/>
    <w:unhideWhenUsed/>
  </w:style>
  <w:style w:type="table" w:styleId="875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2025-10-09T12:06:38Z</dcterms:created>
  <dcterms:modified xsi:type="dcterms:W3CDTF">2025-12-30T06:12:37Z</dcterms:modified>
</cp:coreProperties>
</file>